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93a6d94621944a0" /><Relationship Type="http://schemas.openxmlformats.org/package/2006/relationships/metadata/core-properties" Target="/package/services/metadata/core-properties/5be04aa4c3a24879b16627aa41090b14.psmdcp" Id="Rdcd689c2055446a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13cdaececec14bb1"/>
      <w:footerReference xmlns:r="http://schemas.openxmlformats.org/officeDocument/2006/relationships" w:type="default" r:id="Rfc7c2efa21ce4b0c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25b3c6c77374bad" /><Relationship Type="http://schemas.openxmlformats.org/officeDocument/2006/relationships/styles" Target="/word/styles.xml" Id="R5c7115b868cd4629" /><Relationship Type="http://schemas.openxmlformats.org/officeDocument/2006/relationships/settings" Target="/word/settings.xml" Id="Rb9b6171709e1479a" /><Relationship Type="http://schemas.openxmlformats.org/officeDocument/2006/relationships/header" Target="/word/header1.xml" Id="R13cdaececec14bb1" /><Relationship Type="http://schemas.openxmlformats.org/officeDocument/2006/relationships/footer" Target="/word/footer1.xml" Id="Rfc7c2efa21ce4b0c" /></Relationships>
</file>