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2ab56d07c094a93" /><Relationship Type="http://schemas.openxmlformats.org/package/2006/relationships/metadata/core-properties" Target="/package/services/metadata/core-properties/3199c851a5ea4b5bbd884b729e50cd7a.psmdcp" Id="R406b9637d1d2495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bd99ab6e30f84d38"/>
      <w:footerReference xmlns:r="http://schemas.openxmlformats.org/officeDocument/2006/relationships" w:type="default" r:id="Raca600b3453a4c9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60826d3f3cd43ab" /><Relationship Type="http://schemas.openxmlformats.org/officeDocument/2006/relationships/styles" Target="/word/styles.xml" Id="Rb47501b9682f495d" /><Relationship Type="http://schemas.openxmlformats.org/officeDocument/2006/relationships/settings" Target="/word/settings.xml" Id="Rdc5b439445f74789" /><Relationship Type="http://schemas.openxmlformats.org/officeDocument/2006/relationships/header" Target="/word/header1.xml" Id="Rbd99ab6e30f84d38" /><Relationship Type="http://schemas.openxmlformats.org/officeDocument/2006/relationships/footer" Target="/word/footer1.xml" Id="Raca600b3453a4c9b" /></Relationships>
</file>