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a023ad66b9542e8" /><Relationship Type="http://schemas.openxmlformats.org/package/2006/relationships/metadata/core-properties" Target="/package/services/metadata/core-properties/110f135a983347d2878e57e73e61f19f.psmdcp" Id="R4a94940b2c514ed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d9878f71d2dd4186"/>
      <w:footerReference xmlns:r="http://schemas.openxmlformats.org/officeDocument/2006/relationships" w:type="default" r:id="R18924fca9b4842c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86e42c1b7ad4d80" /><Relationship Type="http://schemas.openxmlformats.org/officeDocument/2006/relationships/styles" Target="/word/styles.xml" Id="Rf088c437ccfb4d9c" /><Relationship Type="http://schemas.openxmlformats.org/officeDocument/2006/relationships/settings" Target="/word/settings.xml" Id="Rf17372ff86564528" /><Relationship Type="http://schemas.openxmlformats.org/officeDocument/2006/relationships/header" Target="/word/header1.xml" Id="Rd9878f71d2dd4186" /><Relationship Type="http://schemas.openxmlformats.org/officeDocument/2006/relationships/footer" Target="/word/footer1.xml" Id="R18924fca9b4842c7" /></Relationships>
</file>