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53c63a6ed7465f" /><Relationship Type="http://schemas.openxmlformats.org/package/2006/relationships/metadata/core-properties" Target="/package/services/metadata/core-properties/1c90381d47e34a32ab7dd008d4146c1e.psmdcp" Id="R90a0710953024b0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361f24a8b1454c24"/>
      <w:footerReference xmlns:r="http://schemas.openxmlformats.org/officeDocument/2006/relationships" w:type="default" r:id="R027907c6ec44457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49b131c21594da8" /><Relationship Type="http://schemas.openxmlformats.org/officeDocument/2006/relationships/styles" Target="/word/styles.xml" Id="R7c1b38fa65184ec9" /><Relationship Type="http://schemas.openxmlformats.org/officeDocument/2006/relationships/settings" Target="/word/settings.xml" Id="Rd8cd55a61dbe433b" /><Relationship Type="http://schemas.openxmlformats.org/officeDocument/2006/relationships/header" Target="/word/header1.xml" Id="R361f24a8b1454c24" /><Relationship Type="http://schemas.openxmlformats.org/officeDocument/2006/relationships/footer" Target="/word/footer1.xml" Id="R027907c6ec444571" /></Relationships>
</file>