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a35bed4be874b42" /><Relationship Type="http://schemas.openxmlformats.org/package/2006/relationships/metadata/core-properties" Target="/package/services/metadata/core-properties/80149f0355244d03a6b732e8509372b4.psmdcp" Id="Ra5a9b48e470e4f9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18fb2f1003d94ee2"/>
      <w:footerReference xmlns:r="http://schemas.openxmlformats.org/officeDocument/2006/relationships" w:type="default" r:id="R60762a11c807459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2abbb9883af4096" /><Relationship Type="http://schemas.openxmlformats.org/officeDocument/2006/relationships/styles" Target="/word/styles.xml" Id="R9a58e2e2cd5f488c" /><Relationship Type="http://schemas.openxmlformats.org/officeDocument/2006/relationships/settings" Target="/word/settings.xml" Id="R6d4ee98100a7497b" /><Relationship Type="http://schemas.openxmlformats.org/officeDocument/2006/relationships/header" Target="/word/header1.xml" Id="R18fb2f1003d94ee2" /><Relationship Type="http://schemas.openxmlformats.org/officeDocument/2006/relationships/footer" Target="/word/footer1.xml" Id="R60762a11c8074590" /></Relationships>
</file>