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fdbe67682b4a5d" /><Relationship Type="http://schemas.openxmlformats.org/package/2006/relationships/metadata/core-properties" Target="/package/services/metadata/core-properties/9bc7f49e4d1c4fd59fabb9bc46165eff.psmdcp" Id="R5bfb3b5da1734d7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b0e8413478484bf2"/>
      <w:footerReference xmlns:r="http://schemas.openxmlformats.org/officeDocument/2006/relationships" w:type="default" r:id="Rc6930d3c36e64d6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61a6021ddf3471a" /><Relationship Type="http://schemas.openxmlformats.org/officeDocument/2006/relationships/styles" Target="/word/styles.xml" Id="R2ddea679692649ea" /><Relationship Type="http://schemas.openxmlformats.org/officeDocument/2006/relationships/settings" Target="/word/settings.xml" Id="Rf358483875a14c3b" /><Relationship Type="http://schemas.openxmlformats.org/officeDocument/2006/relationships/header" Target="/word/header1.xml" Id="Rb0e8413478484bf2" /><Relationship Type="http://schemas.openxmlformats.org/officeDocument/2006/relationships/footer" Target="/word/footer1.xml" Id="Rc6930d3c36e64d64" /></Relationships>
</file>