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c590abbf3b4855" /><Relationship Type="http://schemas.openxmlformats.org/package/2006/relationships/metadata/core-properties" Target="/package/services/metadata/core-properties/34544f5b03584ca7a96947723997b751.psmdcp" Id="R6fa99ec2b4de40a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c454abd26dd84b3c"/>
      <w:footerReference xmlns:r="http://schemas.openxmlformats.org/officeDocument/2006/relationships" w:type="default" r:id="Rc7aceaaf56ce4a3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df17955fe1e4d1b" /><Relationship Type="http://schemas.openxmlformats.org/officeDocument/2006/relationships/styles" Target="/word/styles.xml" Id="R90ea038e37914736" /><Relationship Type="http://schemas.openxmlformats.org/officeDocument/2006/relationships/settings" Target="/word/settings.xml" Id="R55228b9a0dd5470f" /><Relationship Type="http://schemas.openxmlformats.org/officeDocument/2006/relationships/header" Target="/word/header1.xml" Id="Rc454abd26dd84b3c" /><Relationship Type="http://schemas.openxmlformats.org/officeDocument/2006/relationships/footer" Target="/word/footer1.xml" Id="Rc7aceaaf56ce4a3c" /></Relationships>
</file>