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d1cc5cde394ea9" /><Relationship Type="http://schemas.openxmlformats.org/package/2006/relationships/metadata/core-properties" Target="/package/services/metadata/core-properties/65d4893b8528446fbfadd1a94db5ed9d.psmdcp" Id="R96684f63153a4f3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0eb3ee5114154ab7"/>
      <w:footerReference xmlns:r="http://schemas.openxmlformats.org/officeDocument/2006/relationships" w:type="default" r:id="Red018b0ad55c4f0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690aa5d1b7345c6" /><Relationship Type="http://schemas.openxmlformats.org/officeDocument/2006/relationships/styles" Target="/word/styles.xml" Id="R879178d0f72d41a4" /><Relationship Type="http://schemas.openxmlformats.org/officeDocument/2006/relationships/settings" Target="/word/settings.xml" Id="Rb903416ee0334eec" /><Relationship Type="http://schemas.openxmlformats.org/officeDocument/2006/relationships/header" Target="/word/header1.xml" Id="R0eb3ee5114154ab7" /><Relationship Type="http://schemas.openxmlformats.org/officeDocument/2006/relationships/footer" Target="/word/footer1.xml" Id="Red018b0ad55c4f08" /></Relationships>
</file>