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a5669c5c6b4030" /><Relationship Type="http://schemas.openxmlformats.org/package/2006/relationships/metadata/core-properties" Target="/package/services/metadata/core-properties/1c88b737f5eb4719913081e545df7e07.psmdcp" Id="R0c32ba6b683d482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d4d218de37464bf8"/>
      <w:footerReference xmlns:r="http://schemas.openxmlformats.org/officeDocument/2006/relationships" w:type="default" r:id="R27b9ec8e2790419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84f4f83c0b84cb8" /><Relationship Type="http://schemas.openxmlformats.org/officeDocument/2006/relationships/styles" Target="/word/styles.xml" Id="Ra75a007187d34a65" /><Relationship Type="http://schemas.openxmlformats.org/officeDocument/2006/relationships/settings" Target="/word/settings.xml" Id="R88094b73076f4c3c" /><Relationship Type="http://schemas.openxmlformats.org/officeDocument/2006/relationships/header" Target="/word/header1.xml" Id="Rd4d218de37464bf8" /><Relationship Type="http://schemas.openxmlformats.org/officeDocument/2006/relationships/footer" Target="/word/footer1.xml" Id="R27b9ec8e2790419c" /></Relationships>
</file>