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15b9fd491d4f31" /><Relationship Type="http://schemas.openxmlformats.org/package/2006/relationships/metadata/core-properties" Target="/package/services/metadata/core-properties/11a34183fd81455b83edc37cbd8acc87.psmdcp" Id="R8cb7cd3464004c1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4eff4af9268a45ea"/>
      <w:footerReference xmlns:r="http://schemas.openxmlformats.org/officeDocument/2006/relationships" w:type="default" r:id="Ra0e42fb0b27e496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76463b34d9940a0" /><Relationship Type="http://schemas.openxmlformats.org/officeDocument/2006/relationships/styles" Target="/word/styles.xml" Id="Re81c9f0093b740e2" /><Relationship Type="http://schemas.openxmlformats.org/officeDocument/2006/relationships/settings" Target="/word/settings.xml" Id="Rfab28af045764baa" /><Relationship Type="http://schemas.openxmlformats.org/officeDocument/2006/relationships/header" Target="/word/header1.xml" Id="R4eff4af9268a45ea" /><Relationship Type="http://schemas.openxmlformats.org/officeDocument/2006/relationships/footer" Target="/word/footer1.xml" Id="Ra0e42fb0b27e4963" /></Relationships>
</file>