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d7a7811be44e18" /><Relationship Type="http://schemas.openxmlformats.org/package/2006/relationships/metadata/core-properties" Target="/package/services/metadata/core-properties/51f7de7c3a1b4e248242232867aeb3e6.psmdcp" Id="R554573592a3b43f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2ee9bb36d64d4d77"/>
      <w:footerReference xmlns:r="http://schemas.openxmlformats.org/officeDocument/2006/relationships" w:type="default" r:id="R90b4ac15495c49f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3bc06c9e3834abc" /><Relationship Type="http://schemas.openxmlformats.org/officeDocument/2006/relationships/styles" Target="/word/styles.xml" Id="R2393cbfc7b744727" /><Relationship Type="http://schemas.openxmlformats.org/officeDocument/2006/relationships/settings" Target="/word/settings.xml" Id="R656c8cba644442e6" /><Relationship Type="http://schemas.openxmlformats.org/officeDocument/2006/relationships/header" Target="/word/header1.xml" Id="R2ee9bb36d64d4d77" /><Relationship Type="http://schemas.openxmlformats.org/officeDocument/2006/relationships/footer" Target="/word/footer1.xml" Id="R90b4ac15495c49fb" /></Relationships>
</file>