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97956f5e10a4fa9" /><Relationship Type="http://schemas.openxmlformats.org/package/2006/relationships/metadata/core-properties" Target="/package/services/metadata/core-properties/748f447e4c024e478dfdadacf9e654de.psmdcp" Id="R637cd84d2b5f48ca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c9c3b39e927e4c56"/>
      <w:footerReference xmlns:r="http://schemas.openxmlformats.org/officeDocument/2006/relationships" w:type="default" r:id="R07649cba6253418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a9186895a0c4858" /><Relationship Type="http://schemas.openxmlformats.org/officeDocument/2006/relationships/styles" Target="/word/styles.xml" Id="R49864948f55849a8" /><Relationship Type="http://schemas.openxmlformats.org/officeDocument/2006/relationships/settings" Target="/word/settings.xml" Id="Rcc5eddb1c51248ed" /><Relationship Type="http://schemas.openxmlformats.org/officeDocument/2006/relationships/header" Target="/word/header1.xml" Id="Rc9c3b39e927e4c56" /><Relationship Type="http://schemas.openxmlformats.org/officeDocument/2006/relationships/footer" Target="/word/footer1.xml" Id="R07649cba62534184" /></Relationships>
</file>