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1eab98dc8b894d27" /><Relationship Type="http://schemas.openxmlformats.org/officeDocument/2006/relationships/officeDocument" Target="/word/document.xml" Id="R611b53776a214b54" /><Relationship Type="http://schemas.openxmlformats.org/package/2006/relationships/metadata/core-properties" Target="/package/services/metadata/core-properties/63f5e83530bc409aaa76a12e8319e9a4.psmdcp" Id="Ra62790f90a114fab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 xmlns:dgm="http://schemas.openxmlformats.org/drawingml/2006/diagram" xmlns:wpg="http://schemas.microsoft.com/office/word/2010/wordprocessingGroup" xmlns:wps="http://schemas.microsoft.com/office/word/2010/wordprocessingShape" xmlns:mc="http://schemas.openxmlformats.org/markup-compatibility/2006" mc:Ignorable="w14 w15">
  <w:background w:color="FFFFFF"/>
  <w:body>
    <w:p>
      <w:pPr>
        <w:pStyle w:val="Heading1"/>
      </w:pPr>
      <w:bookmarkStart w:name="H_platform_performance_compliance_a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Platform Performance &amp; Compliance Audit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99"/>
        <w:gridCol w:w="2274"/>
        <w:gridCol w:w="2449"/>
        <w:gridCol w:w="2011"/>
        <w:gridCol w:w="1000"/>
      </w:tblGrid>
      <w:tr>
        <w:trPr>
          <w:cantSplit/>
          <w:tblHeader/>
        </w:trPr>
        <w:tc>
          <w:tcPr>
            <w:tcW w:w="2099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Feature Area</w:t>
            </w:r>
          </w:p>
        </w:tc>
        <w:tc>
          <w:tcPr>
            <w:tcW w:w="2274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Legacy Markdown Converters</w:t>
            </w:r>
          </w:p>
        </w:tc>
        <w:tc>
          <w:tcPr>
            <w:tcW w:w="2449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MarkSmith Studio</w:t>
            </w:r>
          </w:p>
        </w:tc>
        <w:tc>
          <w:tcPr>
            <w:tcW w:w="2011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Schema Compliance</w:t>
            </w:r>
          </w:p>
        </w:tc>
      </w:tr>
      <w:tr>
        <w:trPr>
          <w:cantSplit/>
        </w:trPr>
        <w:tc>
          <w:tcPr>
            <w:tcW w:w="2099" w:type="dx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Mathematical Typesetting</w:t>
            </w:r>
          </w:p>
        </w:tc>
        <w:tc>
          <w:tcPr>
            <w:tcW w:w="2274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Static PNG / MathJax</w:t>
            </w:r>
          </w:p>
        </w:tc>
        <w:tc>
          <w:tcPr>
            <w:tcW w:w="2449" w:type="dx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Native OMML Equations</w:t>
            </w:r>
          </w:p>
        </w:tc>
        <w:tc>
          <w:tcPr>
            <w:tcW w:w="2011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ISO/IEC 29500-1</w:t>
            </w:r>
          </w:p>
        </w:tc>
      </w:tr>
      <w:tr>
        <w:trPr>
          <w:cantSplit/>
        </w:trPr>
        <w:tc>
          <w:tcPr>
            <w:tcW w:w="2099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Diagram Generation</w:t>
            </w:r>
          </w:p>
        </w:tc>
        <w:tc>
          <w:tcPr>
            <w:tcW w:w="2274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Blurry Bitmaps</w:t>
            </w:r>
          </w:p>
        </w:tc>
        <w:tc>
          <w:tcPr>
            <w:tcW w:w="2449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ShapeForge™ DrawingML Shapes</w:t>
            </w:r>
          </w:p>
        </w:tc>
        <w:tc>
          <w:tcPr>
            <w:tcW w:w="2011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ECMA-376 Part 1</w:t>
            </w:r>
          </w:p>
        </w:tc>
      </w:tr>
      <w:tr>
        <w:trPr>
          <w:cantSplit/>
        </w:trPr>
        <w:tc>
          <w:tcPr>
            <w:tcW w:w="2099" w:type="dx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Enterprise Governance</w:t>
            </w:r>
          </w:p>
        </w:tc>
        <w:tc>
          <w:tcPr>
            <w:tcW w:w="2274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Unmonitored Web Paste</w:t>
            </w:r>
          </w:p>
        </w:tc>
        <w:tc>
          <w:tcPr>
            <w:tcW w:w="2449" w:type="dx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Client-Side Secret Masking</w:t>
            </w:r>
          </w:p>
        </w:tc>
        <w:tc>
          <w:tcPr>
            <w:tcW w:w="2011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Localhost Air-Gapped</w:t>
            </w:r>
          </w:p>
        </w:tc>
      </w:tr>
      <w:tr>
        <w:trPr>
          <w:cantSplit/>
        </w:trPr>
        <w:tc>
          <w:tcPr>
            <w:tcW w:w="2099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Document Integrity</w:t>
            </w:r>
          </w:p>
        </w:tc>
        <w:tc>
          <w:tcPr>
            <w:tcW w:w="2274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Frequent XML Corruptions</w:t>
            </w:r>
          </w:p>
        </w:tc>
        <w:tc>
          <w:tcPr>
            <w:tcW w:w="2449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Zero Corruption Guarantee</w:t>
            </w:r>
          </w:p>
        </w:tc>
        <w:tc>
          <w:tcPr>
            <w:tcW w:w="2011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Strict OOXML Validation</w:t>
            </w:r>
          </w:p>
        </w:tc>
      </w:tr>
    </w:tbl>
    <w:p>
      <w:pPr>
        <w:spacing w:before="0" w:after="0"/>
      </w:pPr>
    </w:p>
    <w:tbl>
      <w:tblPr>
        <w:tblW w:w="5000" w:type="pct"/>
        <w:tblBorders>
          <w:top w:val="none"/>
          <w:left w:val="single" w:color="8250DF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EBE3F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📌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IMPORTANT</w:t>
            </w:r>
          </w:p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Enterprise DLP Guarantee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: All processing in MarkSmith runs strictly offline. Trade secrets, financial tables, and code never touch third-party servers.</w:t>
            </w:r>
          </w:p>
        </w:tc>
      </w:tr>
    </w:tbl>
    <w:tbl>
      <w:tblPr>
        <w:tblW w:w="5000" w:type="pct"/>
        <w:tblBorders>
          <w:top w:val="none"/>
          <w:left w:val="single" w:color="BF8700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5ECD6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⚠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WARNING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Legacy tools often emit mismatched </w:t>
            </w:r>
            <w:r>
              <w:rPr>
                <w:rFonts w:ascii="Consolas" w:hAnsi="Consolas"/>
                <w:noProof/>
                <w:sz w:val="20"/>
                <w:bdr w:val="single" w:color="auto" w:sz="4" w:space="1"/>
                <w:shd w:val="clear" w:color="auto" w:fill="auto"/>
                <w:color w:val="1b1f23"/>
              </w:rPr>
              <w:t xml:space="preserve">&lt;w:rId&gt;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relationships that trigger Microsoft Word "File Corrupted" repair dialogs upon opening.</w:t>
            </w:r>
          </w:p>
        </w:tc>
      </w:tr>
    </w:tbl>
    <w:sectPr>
      <w:headerReference w:type="default" r:id="R9783efab39264f29"/>
      <w:footerReference w:type="default" r:id="Rd2c058ee4af24a7d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Platform Performance &amp; Compliance Audit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e1d81f60cc644c9" /><Relationship Type="http://schemas.openxmlformats.org/officeDocument/2006/relationships/styles" Target="/word/styles.xml" Id="Rbcdfb9460f2845b4" /><Relationship Type="http://schemas.openxmlformats.org/officeDocument/2006/relationships/header" Target="/word/header1.xml" Id="R9783efab39264f29" /><Relationship Type="http://schemas.openxmlformats.org/officeDocument/2006/relationships/footer" Target="/word/footer1.xml" Id="Rd2c058ee4af24a7d" /><Relationship Type="http://schemas.openxmlformats.org/officeDocument/2006/relationships/settings" Target="/word/settings.xml" Id="Rea3d7f3e8e6049b4" /><Relationship Type="http://schemas.openxmlformats.org/officeDocument/2006/relationships/customXml" Target="/customXml/item.xml" Id="R476fb1bc646a48f9" /></Relationships>
</file>

<file path=customXml/item.xml><?xml version="1.0" encoding="utf-8"?>
<marksmithSource schema="marksmith-source-v1" version="3.1.0.0" exportedUtc="2026-09-11T06:01:37.0881026Z" theme="GitHub Light" mermaidMode="1">
  <markdown><![CDATA[# Platform Performance & Compliance Audit
| Feature Area | Legacy Markdown Converters | MarkSmith Studio | Schema Compliance |
| :--- | :--- | :--- | :--- |
| **Mathematical Typesetting** | Static PNG / MathJax | **Native OMML Equations** | ISO/IEC 29500-1 |
| **Diagram Generation** | Blurry Bitmaps | **ShapeForge™ DrawingML Shapes** | ECMA-376 Part 1 |
| **Enterprise Governance** | Unmonitored Web Paste | **Client-Side Secret Masking** | Localhost Air-Gapped |
| **Document Integrity** | Frequent XML Corruptions | **Zero Corruption Guarantee** | Strict OOXML Validation |
> [!IMPORTANT]
> **Enterprise DLP Guarantee**: All processing in MarkSmith runs strictly offline. Trade secrets, financial tables, and code never touch third-party servers.
> [!WARNING]
> Legacy tools often emit mismatched `<w:rId>` relationships that trigger Microsoft Word "File Corrupted" repair dialogs upon opening.
]]></markdown>
</marksmithSource>
</file>

<file path=docProps/app.xml><?xml version="1.0" encoding="utf-8"?>
<ap:Properties xmlns:ap="http://schemas.openxmlformats.org/officeDocument/2006/extended-properties">
  <ap:Company>Marksmith by Matthew Bubb</ap:Company>
</ap:Properties>
</file>