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customXml/item.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6746d7597c584f80" /><Relationship Type="http://schemas.openxmlformats.org/package/2006/relationships/metadata/core-properties" Target="/package/services/metadata/core-properties/5c7654d2e35a4eed94c1ddecbcce25fc.psmdcp" Id="R75e328d1a9524a43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marksmith_native_collapsible_togg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Marksmith Native Collapsible Toggle Feature Demo</w:t>
      </w:r>
      <w:bookmarkEnd w:id="1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document demonstrates native Word accordion toggle containers.</w:t>
      </w:r>
    </w:p>
    <w:p>
      <w:pPr>
        <w:outlineLvl w:val="8"/>
        <w15:collapsed w:val="true"/>
      </w:pPr>
      <w:r>
        <w:rPr>
          <w:b/>
          <w:color w:val="1B1F23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Database Connection Settings</w:t>
      </w:r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 primary database connection string is configured via environment variables.</w:t>
      </w:r>
    </w:p>
    <w:tbl>
      <w:tblPr>
        <w:tblW w:w="5000" w:type="pct"/>
        <w:tblBorders>
          <w:top w:val="single" w:color="D1D5DA" w:sz="6"/>
          <w:left w:val="single" w:color="D1D5DA" w:sz="6"/>
          <w:bottom w:val="single" w:color="D1D5DA" w:sz="6"/>
          <w:right w:val="single" w:color="D1D5DA" w:sz="6"/>
          <w:insideH w:val="single" w:color="D1D5DA" w:sz="6"/>
          <w:insideV w:val="single" w:color="D1D5DA" w:sz="6"/>
        </w:tblBorders>
        <w:tblCaption w:val="Table exported from Markdown"/>
        <w:tblDescription w:val="Table exported from Markdown by MarkSmith"/>
      </w:tblPr>
      <w:tblGrid>
        <w:gridCol/>
        <w:gridCol/>
        <w:gridCol/>
      </w:tblGrid>
      <w:tr>
        <w:trPr>
          <w:cantSplit/>
          <w:tblHeader/>
        </w:trPr>
        <w:tc>
          <w:tcPr>
            <w:shd w:val="clear" w:color="auto" w:fill="F6F8FA"/>
          </w:tcPr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b/>
                <w:color w:val="1b1f23"/>
              </w:rPr>
              <w:t xml:space="preserve">Property</w:t>
            </w:r>
          </w:p>
        </w:tc>
        <w:tc>
          <w:tcPr>
            <w:shd w:val="clear" w:color="auto" w:fill="F6F8FA"/>
          </w:tcPr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b/>
                <w:color w:val="1b1f23"/>
              </w:rPr>
              <w:t xml:space="preserve">Value</w:t>
            </w:r>
          </w:p>
        </w:tc>
      </w:tr>
      <w:tr>
        <w:trPr>
          <w:cantSplit/>
        </w:trPr>
        <w:tc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Host</w:t>
            </w:r>
          </w:p>
        </w:tc>
        <w:tc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db.internal.net</w:t>
            </w:r>
          </w:p>
        </w:tc>
      </w:tr>
      <w:tr>
        <w:trPr>
          <w:cantSplit/>
        </w:trPr>
        <w:tc>
          <w:tcPr>
            <w:shd w:val="clear" w:color="auto" w:fill="F6F8FA"/>
          </w:tcPr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Port</w:t>
            </w:r>
          </w:p>
        </w:tc>
        <w:tc>
          <w:tcPr>
            <w:shd w:val="clear" w:color="auto" w:fill="F6F8FA"/>
          </w:tcPr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5432</w:t>
            </w:r>
          </w:p>
        </w:tc>
      </w:tr>
    </w:tbl>
    <w:p>
      <w:pPr>
        <w:spacing w:before="0" w:after="0"/>
        <w:rPr>
          <w:sz w:val="8"/>
        </w:rPr>
      </w:pPr>
    </w:p>
    <w:tbl>
      <w:tblPr>
        <w:tblW w:w="5000" w:type="pct"/>
        <w:tblBorders>
          <w:top w:val="none"/>
          <w:left w:val="single" w:color="0969DA" w:sz="30"/>
          <w:bottom w:val="none"/>
          <w:right w:val="none"/>
          <w:insideH w:val="none"/>
          <w:insideV w:val="none"/>
        </w:tblBorders>
      </w:tblPr>
      <w:tblGrid>
        <w:gridCol/>
      </w:tblGrid>
      <w:tr>
        <w:trPr>
          <w:cantSplit/>
        </w:trPr>
        <w:tc>
          <w:tcPr>
            <w:tcW w:w="5000" w:type="pct"/>
            <w:shd w:val="clear" w:color="auto" w:fill="D8E7F9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r>
              <w:rPr>
                <w:rFonts w:ascii="Segoe UI Emoji" w:hAnsi="Segoe UI Emoji" w:eastAsia="Segoe UI Emoji" w:cs="Segoe UI Emoji"/>
                <w:b/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ℹ</w:t>
            </w:r>
            <w:r>
              <w:rPr>
                <w:b/>
                <w:color w:val="121212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️ NOTE</w:t>
            </w:r>
          </w:p>
          <w:p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Ensure SSL mode is set to Require in production environments.</w:t>
            </w:r>
          </w:p>
        </w:tc>
      </w:tr>
    </w:tbl>
    <w:p>
      <w:pPr>
        <w:outlineLvl w:val="8"/>
        <w15:collapsed w:val="true"/>
      </w:pPr>
      <w:r>
        <w:rPr>
          <w:b/>
          <w:color w:val="1B1F23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Troubleshooting Guide</w:t>
      </w:r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If connection timeouts occur:</w:t>
      </w:r>
    </w:p>
    <w:p>
      <w:pPr>
        <w:numPr>
          <w:ilvl w:val="0"/>
          <w:numId w:val="2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Verify security group rules.</w:t>
      </w:r>
    </w:p>
    <w:p>
      <w:pPr>
        <w:numPr>
          <w:ilvl w:val="0"/>
          <w:numId w:val="2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Check network latency.</w:t>
      </w:r>
    </w:p>
    <w:p>
      <w:pPr>
        <w:pStyle w:val="MSCode_bash"/>
        <w:keepLines/>
        <w:pBdr>
          <w:top w:val="single" w:color="D1D5DA" w:sz="4" w:space="4"/>
          <w:left w:val="single" w:color="D1D5DA" w:sz="4" w:space="4"/>
          <w:bottom w:val="single" w:color="D1D5DA" w:sz="4" w:space="4"/>
          <w:right w:val="single" w:color="D1D5DA" w:sz="4" w:space="4"/>
        </w:pBdr>
        <w:shd w:val="clear" w:color="auto" w:fill="F6F8FA"/>
        <w:wordWrap w:val="false"/>
      </w:pPr>
      <w:r>
        <w:rPr>
          <w:rFonts w:ascii="Consolas" w:hAnsi="Consolas"/>
          <w:noProof/>
          <w:color w:val="24292F"/>
        </w:rPr>
        <w:t xml:space="preserve">ping db.internal.net</w:t>
      </w:r>
    </w:p>
    <w:p>
      <w:pPr>
        <w:outlineLvl w:val="8"/>
        <w15:collapsed w:val="true"/>
      </w:pPr>
      <w:r>
        <w:rPr>
          <w:b/>
          <w:color w:val="1B1F23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Legacy HTML Details Section</w:t>
      </w:r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collapsible section was created using standard HTML details/summary syntax.</w:t>
      </w:r>
    </w:p>
    <w:sectPr>
      <w:headerReference xmlns:r="http://schemas.openxmlformats.org/officeDocument/2006/relationships" w:type="default" r:id="R7ac46e40ce284bac"/>
      <w:footerReference xmlns:r="http://schemas.openxmlformats.org/officeDocument/2006/relationships" w:type="default" r:id="R2d2934effbca4c55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Marksmith Native Collapsible Toggle Feature Demo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0d115087cc1b423b" /><Relationship Type="http://schemas.openxmlformats.org/officeDocument/2006/relationships/styles" Target="/word/styles.xml" Id="Re9f0452798064277" /><Relationship Type="http://schemas.openxmlformats.org/officeDocument/2006/relationships/settings" Target="/word/settings.xml" Id="R25865dbfddff4169" /><Relationship Type="http://schemas.openxmlformats.org/officeDocument/2006/relationships/header" Target="/word/header1.xml" Id="R7ac46e40ce284bac" /><Relationship Type="http://schemas.openxmlformats.org/officeDocument/2006/relationships/footer" Target="/word/footer1.xml" Id="R2d2934effbca4c55" /><Relationship Type="http://schemas.openxmlformats.org/officeDocument/2006/relationships/customXml" Target="/customXml/item.xml" Id="R3e32fa2fb56e4ee7" /></Relationships>
</file>

<file path=customXml/item.xml><?xml version="1.0" encoding="utf-8"?>
<marksmithSource schema="marksmith-source-v1" version="2.0.0.0" exportedUtc="2026-07-29T14:03:04.9199843Z" theme="GitHub Light" mermaidMode="1">
  <markdown><![CDATA[# Marksmith Native Collapsible Toggle Feature Demo
This document demonstrates native Word accordion toggle containers.
:::toggle [Database Connection Settings]
The primary database connection string is configured via environment variables.
| Property | Value |
|---|---|
| Host | db.internal.net |
| Port | 5432 |
> [!NOTE]
> Ensure SSL mode is set to Require in production environments.
:::
:::toggle [Troubleshooting Guide]
If connection timeouts occur:
1. Verify security group rules.
2. Check network latency.
```bash
ping db.internal.net
```
:::
<details>
<summary>Legacy HTML Details Section</summary>
This collapsible section was created using standard HTML details/summary syntax.
</details>
]]></markdown>
</marksmithSource>
</file>