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53a5e91cee4ac6" /><Relationship Type="http://schemas.openxmlformats.org/package/2006/relationships/metadata/core-properties" Target="/package/services/metadata/core-properties/2f1b1115740a45cca0e3314c8cc98bc9.psmdcp" Id="R7de70e3452fa4b5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554b6f67b05f4659"/>
      <w:footerReference xmlns:r="http://schemas.openxmlformats.org/officeDocument/2006/relationships" w:type="default" r:id="R5af1e37729484b0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8b7f076a6604022" /><Relationship Type="http://schemas.openxmlformats.org/officeDocument/2006/relationships/styles" Target="/word/styles.xml" Id="R8ceb2f5abad24cae" /><Relationship Type="http://schemas.openxmlformats.org/officeDocument/2006/relationships/settings" Target="/word/settings.xml" Id="R0824ac03851a44a9" /><Relationship Type="http://schemas.openxmlformats.org/officeDocument/2006/relationships/header" Target="/word/header1.xml" Id="R554b6f67b05f4659" /><Relationship Type="http://schemas.openxmlformats.org/officeDocument/2006/relationships/footer" Target="/word/footer1.xml" Id="R5af1e37729484b03" /></Relationships>
</file>