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b4f9ee874444f6f" /><Relationship Type="http://schemas.openxmlformats.org/package/2006/relationships/metadata/core-properties" Target="/package/services/metadata/core-properties/468589939b4b4680ae2f4519820bee37.psmdcp" Id="R32ae44b92e0a4ba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498a0a197b464f72"/>
      <w:footerReference xmlns:r="http://schemas.openxmlformats.org/officeDocument/2006/relationships" w:type="default" r:id="R29663a58b378457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764fe85000e48eb" /><Relationship Type="http://schemas.openxmlformats.org/officeDocument/2006/relationships/styles" Target="/word/styles.xml" Id="R0bcbe0ae47404afb" /><Relationship Type="http://schemas.openxmlformats.org/officeDocument/2006/relationships/settings" Target="/word/settings.xml" Id="R633bd8d6dff04cb8" /><Relationship Type="http://schemas.openxmlformats.org/officeDocument/2006/relationships/header" Target="/word/header1.xml" Id="R498a0a197b464f72" /><Relationship Type="http://schemas.openxmlformats.org/officeDocument/2006/relationships/footer" Target="/word/footer1.xml" Id="R29663a58b3784576" /></Relationships>
</file>