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ebb64c89ce438b" /><Relationship Type="http://schemas.openxmlformats.org/package/2006/relationships/metadata/core-properties" Target="/package/services/metadata/core-properties/74e25ec004d94c88a28360ab088c029b.psmdcp" Id="R38f5a51c1ed04d2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e29c68c63d33431d"/>
      <w:footerReference xmlns:r="http://schemas.openxmlformats.org/officeDocument/2006/relationships" w:type="default" r:id="R8b7deb1cf37a4e3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efef10918014bdc" /><Relationship Type="http://schemas.openxmlformats.org/officeDocument/2006/relationships/styles" Target="/word/styles.xml" Id="R247bd43609294dde" /><Relationship Type="http://schemas.openxmlformats.org/officeDocument/2006/relationships/settings" Target="/word/settings.xml" Id="Rac48157835ed497a" /><Relationship Type="http://schemas.openxmlformats.org/officeDocument/2006/relationships/header" Target="/word/header1.xml" Id="Re29c68c63d33431d" /><Relationship Type="http://schemas.openxmlformats.org/officeDocument/2006/relationships/footer" Target="/word/footer1.xml" Id="R8b7deb1cf37a4e39" /></Relationships>
</file>