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4bf6a087f1496d" /><Relationship Type="http://schemas.openxmlformats.org/package/2006/relationships/metadata/core-properties" Target="/package/services/metadata/core-properties/b08a306a2098488792182b8469c03f6a.psmdcp" Id="Rea91a71cc50b4cd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33e39baed054cb6"/>
      <w:footerReference xmlns:r="http://schemas.openxmlformats.org/officeDocument/2006/relationships" w:type="default" r:id="Rb764db6ea1b649f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e2633ec5dd5475b" /><Relationship Type="http://schemas.openxmlformats.org/officeDocument/2006/relationships/styles" Target="/word/styles.xml" Id="R431c257001024d8c" /><Relationship Type="http://schemas.openxmlformats.org/officeDocument/2006/relationships/settings" Target="/word/settings.xml" Id="R139b38faa7244347" /><Relationship Type="http://schemas.openxmlformats.org/officeDocument/2006/relationships/header" Target="/word/header1.xml" Id="Rc33e39baed054cb6" /><Relationship Type="http://schemas.openxmlformats.org/officeDocument/2006/relationships/footer" Target="/word/footer1.xml" Id="Rb764db6ea1b649fd" /></Relationships>
</file>