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bf1216d5b8466d" /><Relationship Type="http://schemas.openxmlformats.org/package/2006/relationships/metadata/core-properties" Target="/package/services/metadata/core-properties/6eb1443cdcc74a7c8e69b471d3792119.psmdcp" Id="R5772d6a1bbd04ec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f62ff3eaf0ba4c55"/>
      <w:footerReference xmlns:r="http://schemas.openxmlformats.org/officeDocument/2006/relationships" w:type="default" r:id="Ra395f26145ed4d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784fc5ff054a9a" /><Relationship Type="http://schemas.openxmlformats.org/officeDocument/2006/relationships/styles" Target="/word/styles.xml" Id="Rdcfd66e297114357" /><Relationship Type="http://schemas.openxmlformats.org/officeDocument/2006/relationships/settings" Target="/word/settings.xml" Id="Rcb88bf316dd343ff" /><Relationship Type="http://schemas.openxmlformats.org/officeDocument/2006/relationships/header" Target="/word/header1.xml" Id="Rf62ff3eaf0ba4c55" /><Relationship Type="http://schemas.openxmlformats.org/officeDocument/2006/relationships/footer" Target="/word/footer1.xml" Id="Ra395f26145ed4df1" /></Relationships>
</file>