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a3e2aee0654730" /><Relationship Type="http://schemas.openxmlformats.org/package/2006/relationships/metadata/core-properties" Target="/package/services/metadata/core-properties/73708d236739404096bff6c6b0cae13e.psmdcp" Id="R6c8e5de604d949b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8b6325f707c04487"/>
      <w:footerReference xmlns:r="http://schemas.openxmlformats.org/officeDocument/2006/relationships" w:type="default" r:id="R1112d3556e6b4e3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2a24ae2f9054f03" /><Relationship Type="http://schemas.openxmlformats.org/officeDocument/2006/relationships/styles" Target="/word/styles.xml" Id="R310bfdaaf56640f0" /><Relationship Type="http://schemas.openxmlformats.org/officeDocument/2006/relationships/settings" Target="/word/settings.xml" Id="R1f145af9d3964248" /><Relationship Type="http://schemas.openxmlformats.org/officeDocument/2006/relationships/header" Target="/word/header1.xml" Id="R8b6325f707c04487" /><Relationship Type="http://schemas.openxmlformats.org/officeDocument/2006/relationships/footer" Target="/word/footer1.xml" Id="R1112d3556e6b4e3b" /></Relationships>
</file>