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d25ac2dacde49fe" /><Relationship Type="http://schemas.openxmlformats.org/package/2006/relationships/metadata/core-properties" Target="/package/services/metadata/core-properties/7478d6f3e928476c85b5d7465e1010d0.psmdcp" Id="R321b161553e747a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d7a902b6864f441e"/>
      <w:footerReference xmlns:r="http://schemas.openxmlformats.org/officeDocument/2006/relationships" w:type="default" r:id="R67a969a16c9d44d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50f65ea48e44bf2" /><Relationship Type="http://schemas.openxmlformats.org/officeDocument/2006/relationships/styles" Target="/word/styles.xml" Id="R2d6227844c4e4c20" /><Relationship Type="http://schemas.openxmlformats.org/officeDocument/2006/relationships/settings" Target="/word/settings.xml" Id="Rf030542386634a61" /><Relationship Type="http://schemas.openxmlformats.org/officeDocument/2006/relationships/header" Target="/word/header1.xml" Id="Rd7a902b6864f441e" /><Relationship Type="http://schemas.openxmlformats.org/officeDocument/2006/relationships/footer" Target="/word/footer1.xml" Id="R67a969a16c9d44d7" /></Relationships>
</file>