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2fabcfe8f14599" /><Relationship Type="http://schemas.openxmlformats.org/package/2006/relationships/metadata/core-properties" Target="/package/services/metadata/core-properties/ebaf331a870f4664bffbfa77ee653563.psmdcp" Id="Rfe4c951e31a24c3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de7a8076c84a4b6e"/>
      <w:footerReference xmlns:r="http://schemas.openxmlformats.org/officeDocument/2006/relationships" w:type="default" r:id="R249eb749bdf341c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7e8f629510a4947" /><Relationship Type="http://schemas.openxmlformats.org/officeDocument/2006/relationships/styles" Target="/word/styles.xml" Id="Rff92dd8e045b496c" /><Relationship Type="http://schemas.openxmlformats.org/officeDocument/2006/relationships/settings" Target="/word/settings.xml" Id="Re608abdc60fe4242" /><Relationship Type="http://schemas.openxmlformats.org/officeDocument/2006/relationships/header" Target="/word/header1.xml" Id="Rde7a8076c84a4b6e" /><Relationship Type="http://schemas.openxmlformats.org/officeDocument/2006/relationships/footer" Target="/word/footer1.xml" Id="R249eb749bdf341c7" /></Relationships>
</file>