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106f22c0664d07" /><Relationship Type="http://schemas.openxmlformats.org/package/2006/relationships/metadata/core-properties" Target="/package/services/metadata/core-properties/95c2a0d6d5884b67b26f9879d73ad41b.psmdcp" Id="R6be4c40742c7458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0e9832f5355448f9"/>
      <w:footerReference xmlns:r="http://schemas.openxmlformats.org/officeDocument/2006/relationships" w:type="default" r:id="R953eff3dd582473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87d8451b739427c" /><Relationship Type="http://schemas.openxmlformats.org/officeDocument/2006/relationships/styles" Target="/word/styles.xml" Id="R8af61a7e04f6465b" /><Relationship Type="http://schemas.openxmlformats.org/officeDocument/2006/relationships/settings" Target="/word/settings.xml" Id="R5d50575c74bf4496" /><Relationship Type="http://schemas.openxmlformats.org/officeDocument/2006/relationships/header" Target="/word/header1.xml" Id="R0e9832f5355448f9" /><Relationship Type="http://schemas.openxmlformats.org/officeDocument/2006/relationships/footer" Target="/word/footer1.xml" Id="R953eff3dd582473e" /></Relationships>
</file>