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392c6b6c71498f" /><Relationship Type="http://schemas.openxmlformats.org/package/2006/relationships/metadata/core-properties" Target="/package/services/metadata/core-properties/824ac6662fcd46058fcc88c07f6ceaaa.psmdcp" Id="R9412572fb3774d2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5f840c5333b48b7"/>
      <w:footerReference xmlns:r="http://schemas.openxmlformats.org/officeDocument/2006/relationships" w:type="default" r:id="R8f58d2785892460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f8faa2f41a84d0c" /><Relationship Type="http://schemas.openxmlformats.org/officeDocument/2006/relationships/styles" Target="/word/styles.xml" Id="R051c208f2fbf415b" /><Relationship Type="http://schemas.openxmlformats.org/officeDocument/2006/relationships/settings" Target="/word/settings.xml" Id="Rb35eeebecdbe4be1" /><Relationship Type="http://schemas.openxmlformats.org/officeDocument/2006/relationships/header" Target="/word/header1.xml" Id="R75f840c5333b48b7" /><Relationship Type="http://schemas.openxmlformats.org/officeDocument/2006/relationships/footer" Target="/word/footer1.xml" Id="R8f58d27858924602" /></Relationships>
</file>