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5b28bc446cf433c" /><Relationship Type="http://schemas.openxmlformats.org/package/2006/relationships/metadata/core-properties" Target="/package/services/metadata/core-properties/6f5cde98df2a41eca1cf1964e85a5148.psmdcp" Id="R5e8d92c77ba14893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== Syntax 2: Double Equals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3acde8682904423a"/>
      <w:footerReference xmlns:r="http://schemas.openxmlformats.org/officeDocument/2006/relationships" w:type="default" r:id="R4d05a77b06be458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940ca20a4924bc4" /><Relationship Type="http://schemas.openxmlformats.org/officeDocument/2006/relationships/styles" Target="/word/styles.xml" Id="R8c1293f27b6048bd" /><Relationship Type="http://schemas.openxmlformats.org/officeDocument/2006/relationships/settings" Target="/word/settings.xml" Id="Re735817daee545f7" /><Relationship Type="http://schemas.openxmlformats.org/officeDocument/2006/relationships/header" Target="/word/header1.xml" Id="R3acde8682904423a" /><Relationship Type="http://schemas.openxmlformats.org/officeDocument/2006/relationships/footer" Target="/word/footer1.xml" Id="R4d05a77b06be4582" /></Relationships>
</file>