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2dd224c2c5349ba" /><Relationship Type="http://schemas.openxmlformats.org/package/2006/relationships/metadata/core-properties" Target="/package/services/metadata/core-properties/87f5a562e5ec4851978bf0963b00cba9.psmdcp" Id="R6d0dafdcc7bf4dc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abfbfa7c3a5b42fe"/>
      <w:footerReference xmlns:r="http://schemas.openxmlformats.org/officeDocument/2006/relationships" w:type="default" r:id="Rea21709634384a9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d4367fd3e0b4d38" /><Relationship Type="http://schemas.openxmlformats.org/officeDocument/2006/relationships/styles" Target="/word/styles.xml" Id="R9f71b7971b25468d" /><Relationship Type="http://schemas.openxmlformats.org/officeDocument/2006/relationships/settings" Target="/word/settings.xml" Id="R83c970ae3c684bbe" /><Relationship Type="http://schemas.openxmlformats.org/officeDocument/2006/relationships/header" Target="/word/header1.xml" Id="Rabfbfa7c3a5b42fe" /><Relationship Type="http://schemas.openxmlformats.org/officeDocument/2006/relationships/footer" Target="/word/footer1.xml" Id="Rea21709634384a95" /></Relationships>
</file>