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578c1a6e5cd4f6c" /><Relationship Type="http://schemas.openxmlformats.org/package/2006/relationships/metadata/core-properties" Target="/package/services/metadata/core-properties/4307f4a012674e65a4607c396d9a8c99.psmdcp" Id="R8351873cb9734c6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560548d60fd54677"/>
      <w:footerReference xmlns:r="http://schemas.openxmlformats.org/officeDocument/2006/relationships" w:type="default" r:id="R2012b938333047e4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25c96ca961c4b3d" /><Relationship Type="http://schemas.openxmlformats.org/officeDocument/2006/relationships/styles" Target="/word/styles.xml" Id="Rfe33faa645524cbb" /><Relationship Type="http://schemas.openxmlformats.org/officeDocument/2006/relationships/settings" Target="/word/settings.xml" Id="R6b980781c6c74626" /><Relationship Type="http://schemas.openxmlformats.org/officeDocument/2006/relationships/header" Target="/word/header1.xml" Id="R560548d60fd54677" /><Relationship Type="http://schemas.openxmlformats.org/officeDocument/2006/relationships/footer" Target="/word/footer1.xml" Id="R2012b938333047e4" /></Relationships>
</file>