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16418e518b49aa" /><Relationship Type="http://schemas.openxmlformats.org/package/2006/relationships/metadata/core-properties" Target="/package/services/metadata/core-properties/9c93cb7be76446ae8f0df83e5000995f.psmdcp" Id="R18e393759dd64ba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cf2710d1b86c41a0"/>
      <w:footerReference xmlns:r="http://schemas.openxmlformats.org/officeDocument/2006/relationships" w:type="default" r:id="R948d99db3b9b434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903dbb0f28c4afb" /><Relationship Type="http://schemas.openxmlformats.org/officeDocument/2006/relationships/styles" Target="/word/styles.xml" Id="Rb6789db915f34117" /><Relationship Type="http://schemas.openxmlformats.org/officeDocument/2006/relationships/settings" Target="/word/settings.xml" Id="R666819ee39bf474b" /><Relationship Type="http://schemas.openxmlformats.org/officeDocument/2006/relationships/header" Target="/word/header1.xml" Id="Rcf2710d1b86c41a0" /><Relationship Type="http://schemas.openxmlformats.org/officeDocument/2006/relationships/footer" Target="/word/footer1.xml" Id="R948d99db3b9b4341" /></Relationships>
</file>