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a5f8a9ed47b4a1d" /><Relationship Type="http://schemas.openxmlformats.org/package/2006/relationships/metadata/core-properties" Target="/package/services/metadata/core-properties/1c7913e2d0c442a3852ef6041956f188.psmdcp" Id="Rbe32b665d9444dc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2a03a6f5c754b92"/>
      <w:footerReference xmlns:r="http://schemas.openxmlformats.org/officeDocument/2006/relationships" w:type="default" r:id="R1e453f22c343423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cff93bea3e74f35" /><Relationship Type="http://schemas.openxmlformats.org/officeDocument/2006/relationships/styles" Target="/word/styles.xml" Id="R6d1ede35ac654f80" /><Relationship Type="http://schemas.openxmlformats.org/officeDocument/2006/relationships/settings" Target="/word/settings.xml" Id="R2d0578db9fec4b69" /><Relationship Type="http://schemas.openxmlformats.org/officeDocument/2006/relationships/header" Target="/word/header1.xml" Id="Rc2a03a6f5c754b92" /><Relationship Type="http://schemas.openxmlformats.org/officeDocument/2006/relationships/footer" Target="/word/footer1.xml" Id="R1e453f22c3434236" /></Relationships>
</file>