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3fdfe8e872b646c5" /><Relationship Type="http://schemas.openxmlformats.org/officeDocument/2006/relationships/officeDocument" Target="/word/document.xml" Id="R6f44514151df4d9a" /><Relationship Type="http://schemas.openxmlformats.org/package/2006/relationships/metadata/core-properties" Target="/package/services/metadata/core-properties/bccd2b2bf4544c4792fab27087556d67.psmdcp" Id="R876f4488cec948f7" 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a="http://schemas.openxmlformats.org/drawingml/2006/main" xmlns:wp="http://schemas.openxmlformats.org/drawingml/2006/wordprocessingDrawing" xmlns:pic="http://schemas.openxmlformats.org/drawingml/2006/picture" xmlns:c="http://schemas.openxmlformats.org/drawingml/2006/chart" xmlns:dgm="http://schemas.openxmlformats.org/drawingml/2006/diagram" xmlns:wpg="http://schemas.microsoft.com/office/word/2010/wordprocessingGroup" xmlns:wps="http://schemas.microsoft.com/office/word/2010/wordprocessingShape" xmlns:mc="http://schemas.openxmlformats.org/markup-compatibility/2006" mc:Ignorable="w14 w15">
  <w:background w:color="FFFFFF"/>
  <w:body>
    <w:p>
      <w:pPr>
        <w:pStyle w:val="Heading1"/>
      </w:pPr>
      <w:bookmarkStart w:name="H_understanding_gradient_desc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Understanding Gradient Descent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Great question! Here's a clear walkthrough of how gradient descent actually works .</w:t>
      </w:r>
    </w:p>
    <w:p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core idea: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we want to minimise a loss function </w:t>
      </w:r>
      <m:oMath>
        <m:r>
          <m:t xml:space="preserve">L</m:t>
        </m:r>
        <m:r>
          <m:t xml:space="preserve">(</m:t>
        </m:r>
        <m:r>
          <m:t xml:space="preserve">θ</m:t>
        </m:r>
        <m:r>
          <m:t xml:space="preserve">)</m:t>
        </m:r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by repeatedly stepping in the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direction that reduces it fastest — the negative gradient. Each update looks like:</w:t>
      </w:r>
    </w:p>
    <w:p>
      <w:pPr>
        <w:spacing w:before="120" w:after="120"/>
        <w:jc w:val="center"/>
      </w:pPr>
      <m:oMath>
        <m:sSub>
          <m:e>
            <m:r>
              <m:t xml:space="preserve">θ</m:t>
            </m:r>
          </m:e>
          <m:sub>
            <m:r>
              <m:t xml:space="preserve">t</m:t>
            </m:r>
            <m:r>
              <m:t xml:space="preserve">+</m:t>
            </m:r>
            <m:r>
              <m:t xml:space="preserve">1</m:t>
            </m:r>
          </m:sub>
        </m:sSub>
        <m:r>
          <m:t xml:space="preserve">=</m:t>
        </m:r>
        <m:sSub>
          <m:e>
            <m:r>
              <m:t xml:space="preserve">θ</m:t>
            </m:r>
          </m:e>
          <m:sub>
            <m:r>
              <m:t xml:space="preserve">t</m:t>
            </m:r>
          </m:sub>
        </m:sSub>
        <m:r>
          <m:t xml:space="preserve">-</m:t>
        </m:r>
        <m:r>
          <m:t xml:space="preserve">η</m:t>
        </m:r>
        <m:sSub>
          <m:e>
            <m:r>
              <m:t xml:space="preserve">∇</m:t>
            </m:r>
          </m:e>
          <m:sub>
            <m:r>
              <m:t xml:space="preserve">θ</m:t>
            </m:r>
          </m:sub>
        </m:sSub>
        <m:r>
          <m:t xml:space="preserve">L</m:t>
        </m:r>
        <m:r>
          <m:t xml:space="preserve">(</m:t>
        </m:r>
        <m:sSub>
          <m:e>
            <m:r>
              <m:t xml:space="preserve">θ</m:t>
            </m:r>
          </m:e>
          <m:sub>
            <m:r>
              <m:t xml:space="preserve">t</m:t>
            </m:r>
          </m:sub>
        </m:sSub>
        <m:r>
          <m:t xml:space="preserve">)</m:t>
        </m:r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where </w:t>
      </w:r>
      <m:oMath>
        <m:r>
          <m:t xml:space="preserve">η</m:t>
        </m:r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learning rate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Style w:val="Heading2"/>
      </w:pPr>
      <w:bookmarkStart w:name="H_a_minimal_implementation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minimal implementation</w:t>
      </w:r>
      <w:bookmarkEnd w:id="2"/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b/>
          <w:noProof/>
          <w:color w:val="0550AE"/>
        </w:rPr>
        <w:t xml:space="preserve">import</w:t>
      </w:r>
      <w:r>
        <w:rPr>
          <w:rFonts w:ascii="Consolas" w:hAnsi="Consolas"/>
          <w:noProof/>
          <w:color w:val="24292F"/>
        </w:rPr>
        <w:t xml:space="preserve"> numpy </w:t>
      </w:r>
      <w:r>
        <w:rPr>
          <w:rFonts w:ascii="Consolas" w:hAnsi="Consolas"/>
          <w:b/>
          <w:noProof/>
          <w:color w:val="0550AE"/>
        </w:rPr>
        <w:t xml:space="preserve">as</w:t>
      </w:r>
      <w:r>
        <w:rPr>
          <w:rFonts w:ascii="Consolas" w:hAnsi="Consolas"/>
          <w:noProof/>
          <w:color w:val="24292F"/>
        </w:rPr>
        <w:t xml:space="preserve"> np</w:t>
        <w:br/>
        <w:br/>
      </w: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gradient_descent</w:t>
      </w:r>
      <w:r>
        <w:rPr>
          <w:rFonts w:ascii="Consolas" w:hAnsi="Consolas"/>
          <w:noProof/>
          <w:color w:val="24292F"/>
        </w:rPr>
        <w:t xml:space="preserve">(grad, theta, lr=</w:t>
      </w:r>
      <w:r>
        <w:rPr>
          <w:rFonts w:ascii="Consolas" w:hAnsi="Consolas"/>
          <w:noProof/>
          <w:color w:val="0550AE"/>
        </w:rPr>
        <w:t xml:space="preserve">0.1</w:t>
      </w:r>
      <w:r>
        <w:rPr>
          <w:rFonts w:ascii="Consolas" w:hAnsi="Consolas"/>
          <w:noProof/>
          <w:color w:val="24292F"/>
        </w:rPr>
        <w:t xml:space="preserve">, steps=</w:t>
      </w:r>
      <w:r>
        <w:rPr>
          <w:rFonts w:ascii="Consolas" w:hAnsi="Consolas"/>
          <w:noProof/>
          <w:color w:val="0550AE"/>
        </w:rPr>
        <w:t xml:space="preserve">100</w:t>
      </w:r>
      <w:r>
        <w:rPr>
          <w:rFonts w:ascii="Consolas" w:hAnsi="Consolas"/>
          <w:noProof/>
          <w:color w:val="24292F"/>
        </w:rPr>
        <w:t xml:space="preserve">):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for</w:t>
      </w:r>
      <w:r>
        <w:rPr>
          <w:rFonts w:ascii="Consolas" w:hAnsi="Consolas"/>
          <w:noProof/>
          <w:color w:val="24292F"/>
        </w:rPr>
        <w:t xml:space="preserve"> _ </w:t>
      </w:r>
      <w:r>
        <w:rPr>
          <w:rFonts w:ascii="Consolas" w:hAnsi="Consolas"/>
          <w:b/>
          <w:noProof/>
          <w:color w:val="0550AE"/>
        </w:rPr>
        <w:t xml:space="preserve">in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116329"/>
        </w:rPr>
        <w:t xml:space="preserve">range</w:t>
      </w:r>
      <w:r>
        <w:rPr>
          <w:rFonts w:ascii="Consolas" w:hAnsi="Consolas"/>
          <w:noProof/>
          <w:color w:val="24292F"/>
        </w:rPr>
        <w:t xml:space="preserve">(steps):</w:t>
        <w:br/>
        <w:t xml:space="preserve">        theta = theta - lr * </w:t>
      </w:r>
      <w:r>
        <w:rPr>
          <w:rFonts w:ascii="Consolas" w:hAnsi="Consolas"/>
          <w:noProof/>
          <w:color w:val="8250DF"/>
        </w:rPr>
        <w:t xml:space="preserve">grad</w:t>
      </w:r>
      <w:r>
        <w:rPr>
          <w:rFonts w:ascii="Consolas" w:hAnsi="Consolas"/>
          <w:noProof/>
          <w:color w:val="24292F"/>
        </w:rPr>
        <w:t xml:space="preserve">(theta)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return</w:t>
      </w:r>
      <w:r>
        <w:rPr>
          <w:rFonts w:ascii="Consolas" w:hAnsi="Consolas"/>
          <w:noProof/>
          <w:color w:val="24292F"/>
        </w:rPr>
        <w:t xml:space="preserve"> theta</w:t>
      </w:r>
    </w:p>
    <w:p>
      <w:pPr>
        <w:pStyle w:val="Heading2"/>
      </w:pPr>
      <w:bookmarkStart w:name="H_choosing_the_learning_rate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Choosing the learning rate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Too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small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→ training crawls and may never converge in reasonable time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Too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large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→ the loss oscillates or diverges entirely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good default is to start around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1e-3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tune from there</w:t>
      </w:r>
    </w:p>
    <w:p>
      <w:pPr>
        <w:pStyle w:val="Heading2"/>
      </w:pPr>
      <w:bookmarkStart w:name="H_variants_worth_knowing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Variants worth knowing</w:t>
      </w:r>
      <w:bookmarkEnd w:id="4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1085"/>
        <w:gridCol w:w="3798"/>
        <w:gridCol w:w="3662"/>
        <w:gridCol w:w="1000"/>
      </w:tblGrid>
      <w:tr>
        <w:trPr>
          <w:cantSplit/>
          <w:tblHeader/>
        </w:trPr>
        <w:tc>
          <w:tcPr>
            <w:tcW w:w="1085" w:type="dxa"/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Variant</w:t>
            </w:r>
          </w:p>
        </w:tc>
        <w:tc>
          <w:tcPr>
            <w:tcW w:w="3798" w:type="dxa"/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What changes</w:t>
            </w:r>
          </w:p>
        </w:tc>
        <w:tc>
          <w:tcPr>
            <w:tcW w:w="3662" w:type="dxa"/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Good for</w:t>
            </w:r>
          </w:p>
        </w:tc>
      </w:tr>
      <w:tr>
        <w:trPr>
          <w:cantSplit/>
        </w:trPr>
        <w:tc>
          <w:tcPr>
            <w:tcW w:w="1085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SGD</w:t>
            </w:r>
          </w:p>
        </w:tc>
        <w:tc>
          <w:tcPr>
            <w:tcW w:w="3798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one sample per step</w:t>
            </w:r>
          </w:p>
        </w:tc>
        <w:tc>
          <w:tcPr>
            <w:tcW w:w="3662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large datasets</w:t>
            </w:r>
          </w:p>
        </w:tc>
      </w:tr>
      <w:tr>
        <w:trPr>
          <w:cantSplit/>
        </w:trPr>
        <w:tc>
          <w:tcPr>
            <w:tcW w:w="1085" w:type="dxa"/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Momentum</w:t>
            </w:r>
          </w:p>
        </w:tc>
        <w:tc>
          <w:tcPr>
            <w:tcW w:w="3798" w:type="dxa"/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accumulates past gradients</w:t>
            </w:r>
          </w:p>
        </w:tc>
        <w:tc>
          <w:tcPr>
            <w:tcW w:w="3662" w:type="dxa"/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ravines / plateaus</w:t>
            </w:r>
          </w:p>
        </w:tc>
      </w:tr>
      <w:tr>
        <w:trPr>
          <w:cantSplit/>
        </w:trPr>
        <w:tc>
          <w:tcPr>
            <w:tcW w:w="1085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Adam</w:t>
            </w:r>
          </w:p>
        </w:tc>
        <w:tc>
          <w:tcPr>
            <w:tcW w:w="3798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per-parameter adaptive rates</w:t>
            </w:r>
          </w:p>
        </w:tc>
        <w:tc>
          <w:tcPr>
            <w:tcW w:w="3662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most deep-learning defaults</w:t>
            </w:r>
          </w:p>
        </w:tc>
      </w:tr>
    </w:tbl>
    <w:p>
      <w:pPr>
        <w:spacing w:before="0" w:after="0"/>
      </w:pPr>
    </w:p>
    <w:sectPr>
      <w:headerReference w:type="default" r:id="Rc242f252819a44cd"/>
      <w:footerReference w:type="default" r:id="R4da67f1e1b754b7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Understanding Gradient Descent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3e502b47e6e450e" /><Relationship Type="http://schemas.openxmlformats.org/officeDocument/2006/relationships/styles" Target="/word/styles.xml" Id="Re0d562e062424df9" /><Relationship Type="http://schemas.openxmlformats.org/officeDocument/2006/relationships/header" Target="/word/header1.xml" Id="Rc242f252819a44cd" /><Relationship Type="http://schemas.openxmlformats.org/officeDocument/2006/relationships/footer" Target="/word/footer1.xml" Id="R4da67f1e1b754b79" /><Relationship Type="http://schemas.openxmlformats.org/officeDocument/2006/relationships/settings" Target="/word/settings.xml" Id="Reabf4b870e524043" /><Relationship Type="http://schemas.openxmlformats.org/officeDocument/2006/relationships/customXml" Target="/customXml/item.xml" Id="Rcb6dd3f44ee54e11" /></Relationships>
</file>

<file path=customXml/item.xml><?xml version="1.0" encoding="utf-8"?>
<marksmithSource schema="marksmith-source-v1" version="3.1.0.0" exportedUtc="2026-09-07T13:27:37.3980003Z" theme="GitHub Light" mermaidMode="1">
  <markdown><![CDATA[# Understanding Gradient Descent
Great question! Here's a clear walkthrough of how gradient descent actually works .
**The core idea:** we want to minimise a loss function $ L(\theta) $ by repeatedly stepping in the
direction that reduces it fastest — the negative gradient. Each update looks like:
$$
 \theta_{t+1} = \theta_t - \eta \, \nabla_\theta L(\theta_t) 
$$
where $ \eta $ is the **learning rate**.
## A minimal implementation
```python
import numpy as np
def gradient_descent(grad, theta, lr=0.1, steps=100):
    for _ in range(steps):
        theta = theta - lr * grad(theta)
    return theta
```
## Choosing the learning rate 
- Too **small** → training crawls and may never converge in reasonable time
- Too **large** → the loss oscillates or diverges entirely 
- A good default is to start around `1e-3` and tune from there
## Variants worth knowing
| Variant | What changes | Good for |
| --- | --- | --- |
| SGD | one sample per step | large datasets |
| Momentum | accumulates past gradients | ravines / plateaus |
| Adam | per-parameter adaptive rates | most deep-learning defaults |]]></markdown>
</marksmithSource>
</file>

<file path=docProps/app.xml><?xml version="1.0" encoding="utf-8"?>
<ap:Properties xmlns:ap="http://schemas.openxmlformats.org/officeDocument/2006/extended-properties">
  <ap:Company>Marksmith by Matthew Bubb</ap:Company>
</ap:Properties>
</file>