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ebbff66e0d24d12" /><Relationship Type="http://schemas.openxmlformats.org/package/2006/relationships/metadata/core-properties" Target="/package/services/metadata/core-properties/6cf954b8034947fca77266c666c85340.psmdcp" Id="R469f28612e9a4a5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8bc5eb0a3ba247ae"/>
      <w:footerReference xmlns:r="http://schemas.openxmlformats.org/officeDocument/2006/relationships" w:type="default" r:id="R9ad83ce01317490a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6e5663fdf2244ca" /><Relationship Type="http://schemas.openxmlformats.org/officeDocument/2006/relationships/styles" Target="/word/styles.xml" Id="Rb36aad3fbb0c4f42" /><Relationship Type="http://schemas.openxmlformats.org/officeDocument/2006/relationships/settings" Target="/word/settings.xml" Id="Rcf3dcc7a834e4915" /><Relationship Type="http://schemas.openxmlformats.org/officeDocument/2006/relationships/header" Target="/word/header1.xml" Id="R8bc5eb0a3ba247ae" /><Relationship Type="http://schemas.openxmlformats.org/officeDocument/2006/relationships/footer" Target="/word/footer1.xml" Id="R9ad83ce01317490a" /></Relationships>
</file>