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878f40eb4dd4be2" /><Relationship Type="http://schemas.openxmlformats.org/package/2006/relationships/metadata/core-properties" Target="/package/services/metadata/core-properties/a68f7d51953646e6a619fed23ee3adf9.psmdcp" Id="Raa703ae88eca4ef9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b4c26e1114574370"/>
      <w:footerReference xmlns:r="http://schemas.openxmlformats.org/officeDocument/2006/relationships" w:type="default" r:id="Rdf16e40b45864c48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cc378f0778844f79" /><Relationship Type="http://schemas.openxmlformats.org/officeDocument/2006/relationships/styles" Target="/word/styles.xml" Id="R04c0f91135e94a52" /><Relationship Type="http://schemas.openxmlformats.org/officeDocument/2006/relationships/settings" Target="/word/settings.xml" Id="Ra677a0504fab415d" /><Relationship Type="http://schemas.openxmlformats.org/officeDocument/2006/relationships/header" Target="/word/header1.xml" Id="Rb4c26e1114574370" /><Relationship Type="http://schemas.openxmlformats.org/officeDocument/2006/relationships/footer" Target="/word/footer1.xml" Id="Rdf16e40b45864c48" /></Relationships>
</file>