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b3f46a91d34db6" /><Relationship Type="http://schemas.openxmlformats.org/package/2006/relationships/metadata/core-properties" Target="/package/services/metadata/core-properties/1642763f2f5048f090917afc9c5627ee.psmdcp" Id="R70f6b5a8ab41490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b46993967dbc449a"/>
      <w:footerReference xmlns:r="http://schemas.openxmlformats.org/officeDocument/2006/relationships" w:type="default" r:id="Ra42f1a3a8caf4c7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62eb231c1a54aeb" /><Relationship Type="http://schemas.openxmlformats.org/officeDocument/2006/relationships/styles" Target="/word/styles.xml" Id="Rf40cc4e3de634ee0" /><Relationship Type="http://schemas.openxmlformats.org/officeDocument/2006/relationships/settings" Target="/word/settings.xml" Id="Rab6513c3f10d4925" /><Relationship Type="http://schemas.openxmlformats.org/officeDocument/2006/relationships/header" Target="/word/header1.xml" Id="Rb46993967dbc449a" /><Relationship Type="http://schemas.openxmlformats.org/officeDocument/2006/relationships/footer" Target="/word/footer1.xml" Id="Ra42f1a3a8caf4c72" /></Relationships>
</file>