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a434f10a2a42d0" /><Relationship Type="http://schemas.openxmlformats.org/package/2006/relationships/metadata/core-properties" Target="/package/services/metadata/core-properties/5a85b523280642629e2447818f00ee0c.psmdcp" Id="R52d2b8bad211473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d7c5d1c1bbf1481e"/>
      <w:footerReference xmlns:r="http://schemas.openxmlformats.org/officeDocument/2006/relationships" w:type="default" r:id="Rd3d04bfcfd97471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887568be1ca4dae" /><Relationship Type="http://schemas.openxmlformats.org/officeDocument/2006/relationships/styles" Target="/word/styles.xml" Id="R6a7c01427e06400e" /><Relationship Type="http://schemas.openxmlformats.org/officeDocument/2006/relationships/settings" Target="/word/settings.xml" Id="Rdb7eb44761894b11" /><Relationship Type="http://schemas.openxmlformats.org/officeDocument/2006/relationships/header" Target="/word/header1.xml" Id="Rd7c5d1c1bbf1481e" /><Relationship Type="http://schemas.openxmlformats.org/officeDocument/2006/relationships/footer" Target="/word/footer1.xml" Id="Rd3d04bfcfd974719" /></Relationships>
</file>