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d8ed4a95e94773" /><Relationship Type="http://schemas.openxmlformats.org/package/2006/relationships/metadata/core-properties" Target="/package/services/metadata/core-properties/f88f2495668540269b52e9667e093c0d.psmdcp" Id="Ra95db4c5f20b41d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bf3503958f4e48ab"/>
      <w:footerReference xmlns:r="http://schemas.openxmlformats.org/officeDocument/2006/relationships" w:type="default" r:id="R78e941f317c44fe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0bf9f0ecea748b5" /><Relationship Type="http://schemas.openxmlformats.org/officeDocument/2006/relationships/styles" Target="/word/styles.xml" Id="R428beb7c7fe94bac" /><Relationship Type="http://schemas.openxmlformats.org/officeDocument/2006/relationships/settings" Target="/word/settings.xml" Id="R99085aaec56e4007" /><Relationship Type="http://schemas.openxmlformats.org/officeDocument/2006/relationships/header" Target="/word/header1.xml" Id="Rbf3503958f4e48ab" /><Relationship Type="http://schemas.openxmlformats.org/officeDocument/2006/relationships/footer" Target="/word/footer1.xml" Id="R78e941f317c44fe4" /></Relationships>
</file>