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f11af7c97b43ed" /><Relationship Type="http://schemas.openxmlformats.org/package/2006/relationships/metadata/core-properties" Target="/package/services/metadata/core-properties/1250190f73b04913b1c59ad2693b6996.psmdcp" Id="R9cacbfe88d2547f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8e4e72dbccfa403a"/>
      <w:footerReference xmlns:r="http://schemas.openxmlformats.org/officeDocument/2006/relationships" w:type="default" r:id="Rf9ee070e1eeb4be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9647a0eb10b466b" /><Relationship Type="http://schemas.openxmlformats.org/officeDocument/2006/relationships/styles" Target="/word/styles.xml" Id="Rebd3cfc4ef524206" /><Relationship Type="http://schemas.openxmlformats.org/officeDocument/2006/relationships/settings" Target="/word/settings.xml" Id="Rd3440a060a1c4aca" /><Relationship Type="http://schemas.openxmlformats.org/officeDocument/2006/relationships/header" Target="/word/header1.xml" Id="R8e4e72dbccfa403a" /><Relationship Type="http://schemas.openxmlformats.org/officeDocument/2006/relationships/footer" Target="/word/footer1.xml" Id="Rf9ee070e1eeb4be5" /></Relationships>
</file>