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738accf533c4e12" /><Relationship Type="http://schemas.openxmlformats.org/package/2006/relationships/metadata/core-properties" Target="/package/services/metadata/core-properties/c530681c249841e09e3073e88000951d.psmdcp" Id="R867b8efde0a64e1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b036ebaf46ad43cc"/>
      <w:footerReference xmlns:r="http://schemas.openxmlformats.org/officeDocument/2006/relationships" w:type="default" r:id="Rcaff2a78313d4e5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719ca7adb1b47ce" /><Relationship Type="http://schemas.openxmlformats.org/officeDocument/2006/relationships/styles" Target="/word/styles.xml" Id="R0244583ca2f24731" /><Relationship Type="http://schemas.openxmlformats.org/officeDocument/2006/relationships/settings" Target="/word/settings.xml" Id="Rcd8132b95186408f" /><Relationship Type="http://schemas.openxmlformats.org/officeDocument/2006/relationships/header" Target="/word/header1.xml" Id="Rb036ebaf46ad43cc" /><Relationship Type="http://schemas.openxmlformats.org/officeDocument/2006/relationships/footer" Target="/word/footer1.xml" Id="Rcaff2a78313d4e55" /></Relationships>
</file>