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d1da6ebf514c06" /><Relationship Type="http://schemas.openxmlformats.org/package/2006/relationships/metadata/core-properties" Target="/package/services/metadata/core-properties/0fb260c8b7394ccca3c99f5bcc8a8ae9.psmdcp" Id="R79b813bb4cf84f3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ee18564ff4cd443c"/>
      <w:footerReference xmlns:r="http://schemas.openxmlformats.org/officeDocument/2006/relationships" w:type="default" r:id="Re97e6b52719f4ea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7e7b83954c148aa" /><Relationship Type="http://schemas.openxmlformats.org/officeDocument/2006/relationships/styles" Target="/word/styles.xml" Id="Rc14220efbf5e4bf2" /><Relationship Type="http://schemas.openxmlformats.org/officeDocument/2006/relationships/settings" Target="/word/settings.xml" Id="Rbab393ec423b4713" /><Relationship Type="http://schemas.openxmlformats.org/officeDocument/2006/relationships/header" Target="/word/header1.xml" Id="Ree18564ff4cd443c" /><Relationship Type="http://schemas.openxmlformats.org/officeDocument/2006/relationships/footer" Target="/word/footer1.xml" Id="Re97e6b52719f4eab" /></Relationships>
</file>