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73d80e2acc54f38" /><Relationship Type="http://schemas.openxmlformats.org/package/2006/relationships/metadata/core-properties" Target="/package/services/metadata/core-properties/391700fd5bd74116959054d360ad9ed6.psmdcp" Id="R3e77ae88ccd74d1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d3a17ded7bde4db4"/>
      <w:footerReference xmlns:r="http://schemas.openxmlformats.org/officeDocument/2006/relationships" w:type="default" r:id="Rcc7a686811e34f7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4bc319ab7bb404a" /><Relationship Type="http://schemas.openxmlformats.org/officeDocument/2006/relationships/styles" Target="/word/styles.xml" Id="R72592c367e8544dc" /><Relationship Type="http://schemas.openxmlformats.org/officeDocument/2006/relationships/settings" Target="/word/settings.xml" Id="R45dfeb5949524d34" /><Relationship Type="http://schemas.openxmlformats.org/officeDocument/2006/relationships/header" Target="/word/header1.xml" Id="Rd3a17ded7bde4db4" /><Relationship Type="http://schemas.openxmlformats.org/officeDocument/2006/relationships/footer" Target="/word/footer1.xml" Id="Rcc7a686811e34f78" /></Relationships>
</file>