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c8e6c8e85d8416e" /><Relationship Type="http://schemas.openxmlformats.org/package/2006/relationships/metadata/core-properties" Target="/package/services/metadata/core-properties/7e0876fa8949453dbbbf72277de3533c.psmdcp" Id="R6209278de3ac452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97a203fd89ff4809"/>
      <w:footerReference xmlns:r="http://schemas.openxmlformats.org/officeDocument/2006/relationships" w:type="default" r:id="R70fb5d2d2e51432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0295bfd6357453d" /><Relationship Type="http://schemas.openxmlformats.org/officeDocument/2006/relationships/styles" Target="/word/styles.xml" Id="Rd3391579c8ea42e7" /><Relationship Type="http://schemas.openxmlformats.org/officeDocument/2006/relationships/settings" Target="/word/settings.xml" Id="Ra6deb6ccdf4d4f44" /><Relationship Type="http://schemas.openxmlformats.org/officeDocument/2006/relationships/header" Target="/word/header1.xml" Id="R97a203fd89ff4809" /><Relationship Type="http://schemas.openxmlformats.org/officeDocument/2006/relationships/footer" Target="/word/footer1.xml" Id="R70fb5d2d2e51432d" /></Relationships>
</file>