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b42030b3e64c2c" /><Relationship Type="http://schemas.openxmlformats.org/package/2006/relationships/metadata/core-properties" Target="/package/services/metadata/core-properties/7dbfb3b2757b429eaefdc022c837ed91.psmdcp" Id="R36081429995e47a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d383b90ae5904424"/>
      <w:footerReference xmlns:r="http://schemas.openxmlformats.org/officeDocument/2006/relationships" w:type="default" r:id="R0d66e73d97a94e6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71de5126de7413f" /><Relationship Type="http://schemas.openxmlformats.org/officeDocument/2006/relationships/styles" Target="/word/styles.xml" Id="R90199c7c468a4103" /><Relationship Type="http://schemas.openxmlformats.org/officeDocument/2006/relationships/settings" Target="/word/settings.xml" Id="R7529bf1ca4834d77" /><Relationship Type="http://schemas.openxmlformats.org/officeDocument/2006/relationships/header" Target="/word/header1.xml" Id="Rd383b90ae5904424" /><Relationship Type="http://schemas.openxmlformats.org/officeDocument/2006/relationships/footer" Target="/word/footer1.xml" Id="R0d66e73d97a94e68" /></Relationships>
</file>