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60daa2d1624f0d" /><Relationship Type="http://schemas.openxmlformats.org/package/2006/relationships/metadata/core-properties" Target="/package/services/metadata/core-properties/6b4c7763caec43f59f0e516df18b5dfc.psmdcp" Id="Rc512ba6a601e4d2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9807c376554249ff"/>
      <w:footerReference xmlns:r="http://schemas.openxmlformats.org/officeDocument/2006/relationships" w:type="default" r:id="R2e33da616a514ec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388af6c2574497f" /><Relationship Type="http://schemas.openxmlformats.org/officeDocument/2006/relationships/styles" Target="/word/styles.xml" Id="Re1709637e4dd40d4" /><Relationship Type="http://schemas.openxmlformats.org/officeDocument/2006/relationships/settings" Target="/word/settings.xml" Id="Rd890107ce17a4803" /><Relationship Type="http://schemas.openxmlformats.org/officeDocument/2006/relationships/header" Target="/word/header1.xml" Id="R9807c376554249ff" /><Relationship Type="http://schemas.openxmlformats.org/officeDocument/2006/relationships/footer" Target="/word/footer1.xml" Id="R2e33da616a514ecc" /></Relationships>
</file>