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a9c2be58e64335" /><Relationship Type="http://schemas.openxmlformats.org/package/2006/relationships/metadata/core-properties" Target="/package/services/metadata/core-properties/f166531e6d4c4b8e824405dd7c2e1eff.psmdcp" Id="Rbbc46b63ab2e472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ef151fa74ced4a5b"/>
      <w:footerReference xmlns:r="http://schemas.openxmlformats.org/officeDocument/2006/relationships" w:type="default" r:id="Rd06efcc71fc94f2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33d936bce924262" /><Relationship Type="http://schemas.openxmlformats.org/officeDocument/2006/relationships/styles" Target="/word/styles.xml" Id="Rca9e801a5b34417a" /><Relationship Type="http://schemas.openxmlformats.org/officeDocument/2006/relationships/settings" Target="/word/settings.xml" Id="Rfcd9a97bf4a54ed7" /><Relationship Type="http://schemas.openxmlformats.org/officeDocument/2006/relationships/header" Target="/word/header1.xml" Id="Ref151fa74ced4a5b" /><Relationship Type="http://schemas.openxmlformats.org/officeDocument/2006/relationships/footer" Target="/word/footer1.xml" Id="Rd06efcc71fc94f20" /></Relationships>
</file>