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4e652738964e6a" /><Relationship Type="http://schemas.openxmlformats.org/package/2006/relationships/metadata/core-properties" Target="/package/services/metadata/core-properties/b9d7507f2639497ab18b861f19f3c64b.psmdcp" Id="R4063d1de97e54cd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100b5d50c8cc4f00"/>
      <w:footerReference xmlns:r="http://schemas.openxmlformats.org/officeDocument/2006/relationships" w:type="default" r:id="Rb94754c19e9b4a9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ad263ff9a864795" /><Relationship Type="http://schemas.openxmlformats.org/officeDocument/2006/relationships/styles" Target="/word/styles.xml" Id="R6272464b8a12437d" /><Relationship Type="http://schemas.openxmlformats.org/officeDocument/2006/relationships/settings" Target="/word/settings.xml" Id="Re3770a37ec23482d" /><Relationship Type="http://schemas.openxmlformats.org/officeDocument/2006/relationships/header" Target="/word/header1.xml" Id="R100b5d50c8cc4f00" /><Relationship Type="http://schemas.openxmlformats.org/officeDocument/2006/relationships/footer" Target="/word/footer1.xml" Id="Rb94754c19e9b4a96" /></Relationships>
</file>