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fe09c54a45448f9" /><Relationship Type="http://schemas.openxmlformats.org/package/2006/relationships/metadata/core-properties" Target="/package/services/metadata/core-properties/69fc5c352db44d1a895e660c6c22ccb5.psmdcp" Id="R2ac8eb62b54b428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e65c2bc74ab24be7"/>
      <w:footerReference xmlns:r="http://schemas.openxmlformats.org/officeDocument/2006/relationships" w:type="default" r:id="Rbe048c3a23f2416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182c271ab704056" /><Relationship Type="http://schemas.openxmlformats.org/officeDocument/2006/relationships/styles" Target="/word/styles.xml" Id="Rb9978793526743c2" /><Relationship Type="http://schemas.openxmlformats.org/officeDocument/2006/relationships/settings" Target="/word/settings.xml" Id="Re3fd674b50584a58" /><Relationship Type="http://schemas.openxmlformats.org/officeDocument/2006/relationships/header" Target="/word/header1.xml" Id="Re65c2bc74ab24be7" /><Relationship Type="http://schemas.openxmlformats.org/officeDocument/2006/relationships/footer" Target="/word/footer1.xml" Id="Rbe048c3a23f2416a" /></Relationships>
</file>