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441fdae8274be4" /><Relationship Type="http://schemas.openxmlformats.org/package/2006/relationships/metadata/core-properties" Target="/package/services/metadata/core-properties/5b75040b3d574f6ca936384fcd74b54e.psmdcp" Id="R36f297363e2e46e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46d129c6de1644f3"/>
      <w:footerReference xmlns:r="http://schemas.openxmlformats.org/officeDocument/2006/relationships" w:type="default" r:id="R626ef8a70a0c4c2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c5c020233d54d4c" /><Relationship Type="http://schemas.openxmlformats.org/officeDocument/2006/relationships/styles" Target="/word/styles.xml" Id="R45207abd54c64db5" /><Relationship Type="http://schemas.openxmlformats.org/officeDocument/2006/relationships/settings" Target="/word/settings.xml" Id="R479bd5fe69c54409" /><Relationship Type="http://schemas.openxmlformats.org/officeDocument/2006/relationships/header" Target="/word/header1.xml" Id="R46d129c6de1644f3" /><Relationship Type="http://schemas.openxmlformats.org/officeDocument/2006/relationships/footer" Target="/word/footer1.xml" Id="R626ef8a70a0c4c26" /></Relationships>
</file>