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f6c8c263a041db" /><Relationship Type="http://schemas.openxmlformats.org/package/2006/relationships/metadata/core-properties" Target="/package/services/metadata/core-properties/2f254585f3be4c8780cbf1eb9b552222.psmdcp" Id="R394755a8622243d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48143f3bd0c4beb"/>
      <w:footerReference xmlns:r="http://schemas.openxmlformats.org/officeDocument/2006/relationships" w:type="default" r:id="Ra6a6a3e814414d4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608d86b5e214122" /><Relationship Type="http://schemas.openxmlformats.org/officeDocument/2006/relationships/styles" Target="/word/styles.xml" Id="R0aba62e681b449df" /><Relationship Type="http://schemas.openxmlformats.org/officeDocument/2006/relationships/settings" Target="/word/settings.xml" Id="R091ca68bd60f402c" /><Relationship Type="http://schemas.openxmlformats.org/officeDocument/2006/relationships/header" Target="/word/header1.xml" Id="R448143f3bd0c4beb" /><Relationship Type="http://schemas.openxmlformats.org/officeDocument/2006/relationships/footer" Target="/word/footer1.xml" Id="Ra6a6a3e814414d49" /></Relationships>
</file>