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58ddbe9e9241f7" /><Relationship Type="http://schemas.openxmlformats.org/package/2006/relationships/metadata/core-properties" Target="/package/services/metadata/core-properties/befee67b475c465d88cb6b12aa8d3872.psmdcp" Id="Rcb97af82214245d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0da6b37362874756"/>
      <w:footerReference xmlns:r="http://schemas.openxmlformats.org/officeDocument/2006/relationships" w:type="default" r:id="R776b94a4a28c482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e337c70e8d74807" /><Relationship Type="http://schemas.openxmlformats.org/officeDocument/2006/relationships/styles" Target="/word/styles.xml" Id="R1bf9954c0e514acf" /><Relationship Type="http://schemas.openxmlformats.org/officeDocument/2006/relationships/settings" Target="/word/settings.xml" Id="R4d6bfb89a5224a60" /><Relationship Type="http://schemas.openxmlformats.org/officeDocument/2006/relationships/header" Target="/word/header1.xml" Id="R0da6b37362874756" /><Relationship Type="http://schemas.openxmlformats.org/officeDocument/2006/relationships/footer" Target="/word/footer1.xml" Id="R776b94a4a28c4829" /></Relationships>
</file>