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3135827ebe448a7" /><Relationship Type="http://schemas.openxmlformats.org/package/2006/relationships/metadata/core-properties" Target="/package/services/metadata/core-properties/8fd3a650c8f34decbcedd6c24ebe57e6.psmdcp" Id="R82afe893f3b4498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4971ff1d4d2c4cdf"/>
      <w:footerReference xmlns:r="http://schemas.openxmlformats.org/officeDocument/2006/relationships" w:type="default" r:id="R2da7a771b5bf434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3708b2c6981455d" /><Relationship Type="http://schemas.openxmlformats.org/officeDocument/2006/relationships/styles" Target="/word/styles.xml" Id="R74af2b1175fe42d8" /><Relationship Type="http://schemas.openxmlformats.org/officeDocument/2006/relationships/settings" Target="/word/settings.xml" Id="Rd7e94641667348cf" /><Relationship Type="http://schemas.openxmlformats.org/officeDocument/2006/relationships/header" Target="/word/header1.xml" Id="R4971ff1d4d2c4cdf" /><Relationship Type="http://schemas.openxmlformats.org/officeDocument/2006/relationships/footer" Target="/word/footer1.xml" Id="R2da7a771b5bf434c" /></Relationships>
</file>