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42bde2cc3e4b1c" /><Relationship Type="http://schemas.openxmlformats.org/package/2006/relationships/metadata/core-properties" Target="/package/services/metadata/core-properties/0d4936da42ac457b9b7d116c68564fe1.psmdcp" Id="R956b12d8abc74105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a4d0ed12efee4f1e"/>
      <w:footerReference xmlns:r="http://schemas.openxmlformats.org/officeDocument/2006/relationships" w:type="default" r:id="Re462430ca8324a7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189923931094b56" /><Relationship Type="http://schemas.openxmlformats.org/officeDocument/2006/relationships/styles" Target="/word/styles.xml" Id="R9bfe77238f6e4345" /><Relationship Type="http://schemas.openxmlformats.org/officeDocument/2006/relationships/settings" Target="/word/settings.xml" Id="Rd43a1c060fbf41cf" /><Relationship Type="http://schemas.openxmlformats.org/officeDocument/2006/relationships/header" Target="/word/header1.xml" Id="Ra4d0ed12efee4f1e" /><Relationship Type="http://schemas.openxmlformats.org/officeDocument/2006/relationships/footer" Target="/word/footer1.xml" Id="Re462430ca8324a7f" /></Relationships>
</file>